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7B3767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34ADA">
        <w:rPr>
          <w:b/>
          <w:sz w:val="20"/>
          <w:szCs w:val="20"/>
        </w:rPr>
        <w:t>Washington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2B4D3C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34ADA">
        <w:rPr>
          <w:b/>
          <w:sz w:val="20"/>
          <w:szCs w:val="20"/>
        </w:rPr>
        <w:t>101-63-880-3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43B7C8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34ADA">
        <w:rPr>
          <w:b/>
          <w:sz w:val="20"/>
          <w:szCs w:val="20"/>
        </w:rPr>
        <w:t>11-13-2019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AF7304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34ADA">
        <w:rPr>
          <w:b/>
          <w:sz w:val="20"/>
          <w:szCs w:val="20"/>
        </w:rPr>
        <w:t>11-19-2019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95363F1" w:rsidR="00223718" w:rsidRPr="00357703" w:rsidRDefault="00C34AD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6AB794E" w:rsidR="00223718" w:rsidRPr="00357703" w:rsidRDefault="00C34AD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6BC0CE5" w:rsidR="00223718" w:rsidRPr="00357703" w:rsidRDefault="00C34AD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660131A2" w:rsidR="00223718" w:rsidRPr="00357703" w:rsidRDefault="00C34AD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7310D4E" w:rsidR="00D6151F" w:rsidRDefault="00C34AD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9EF751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34AD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34ADA">
        <w:rPr>
          <w:sz w:val="16"/>
          <w:szCs w:val="16"/>
        </w:rPr>
        <w:instrText xml:space="preserve"> FORMCHECKBOX </w:instrText>
      </w:r>
      <w:r w:rsidR="008556BD">
        <w:rPr>
          <w:sz w:val="16"/>
          <w:szCs w:val="16"/>
        </w:rPr>
      </w:r>
      <w:r w:rsidR="008556BD">
        <w:rPr>
          <w:sz w:val="16"/>
          <w:szCs w:val="16"/>
        </w:rPr>
        <w:fldChar w:fldCharType="separate"/>
      </w:r>
      <w:r w:rsidR="00C34AD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556BD">
              <w:rPr>
                <w:rFonts w:ascii="Calibri" w:hAnsi="Calibri" w:cs="Calibri"/>
              </w:rPr>
            </w:r>
            <w:r w:rsidR="008556B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563E7A8" w:rsidR="0079370C" w:rsidRPr="00E36FC5" w:rsidRDefault="00C34AD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32FDA91" w:rsidR="006B7A09" w:rsidRPr="009319BD" w:rsidRDefault="00C34AD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Pr="00C34ADA" w:rsidRDefault="00382454" w:rsidP="00C34ADA">
            <w:pPr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4D64CF0" w:rsidR="006B7A09" w:rsidRPr="009319BD" w:rsidRDefault="00C34AD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49A83345" w:rsidR="006B7A09" w:rsidRPr="009319BD" w:rsidRDefault="00C34AD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74FCDF3C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121114E" w:rsidR="007572A4" w:rsidRPr="00C34ADA" w:rsidRDefault="00C34ADA" w:rsidP="00C34AD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34ADA">
              <w:rPr>
                <w:sz w:val="20"/>
                <w:szCs w:val="20"/>
              </w:rPr>
              <w:t>Lunch-</w:t>
            </w:r>
            <w:r w:rsidRPr="00C34ADA">
              <w:rPr>
                <w:color w:val="404040"/>
                <w:sz w:val="20"/>
                <w:szCs w:val="20"/>
              </w:rPr>
              <w:t xml:space="preserve"> On the day of review, it was found that the amount of “Wow butter” indicated in the standardized recipe &amp; on the daily Wow butter &amp; jelly sandwich was insufficient. It was also found that the amount of cucumbers offered as ½ cup was insufficient.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2E234EE" w:rsidR="006B7A09" w:rsidRPr="009319BD" w:rsidRDefault="00C34AD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Pr="00C34ADA" w:rsidRDefault="00382454" w:rsidP="00C34ADA">
            <w:pPr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CC9640D" w:rsidR="006B7A09" w:rsidRPr="009319BD" w:rsidRDefault="00C34AD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5CDA880" w:rsidR="006B7A09" w:rsidRPr="009319BD" w:rsidRDefault="00C34AD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1E3FCA0" w:rsidR="006B7A09" w:rsidRPr="009319BD" w:rsidRDefault="00C34AD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2FECEA57" w14:textId="77777777" w:rsidR="00FE0355" w:rsidRDefault="00FE0355" w:rsidP="00223718">
            <w:pPr>
              <w:rPr>
                <w:b/>
                <w:sz w:val="20"/>
                <w:szCs w:val="20"/>
              </w:rPr>
            </w:pPr>
          </w:p>
          <w:p w14:paraId="69FA63B9" w14:textId="77777777" w:rsidR="00C34ADA" w:rsidRDefault="00C34ADA" w:rsidP="00223718">
            <w:pPr>
              <w:rPr>
                <w:b/>
                <w:sz w:val="20"/>
                <w:szCs w:val="20"/>
              </w:rPr>
            </w:pPr>
          </w:p>
          <w:p w14:paraId="70129493" w14:textId="77777777" w:rsidR="00C34ADA" w:rsidRDefault="00C34ADA" w:rsidP="00223718">
            <w:pPr>
              <w:rPr>
                <w:b/>
                <w:sz w:val="20"/>
                <w:szCs w:val="20"/>
              </w:rPr>
            </w:pPr>
          </w:p>
          <w:p w14:paraId="6DE2CF9F" w14:textId="45D0A339" w:rsidR="00C34ADA" w:rsidRPr="00B20A26" w:rsidRDefault="00C34AD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1884F4D" w:rsidR="006B7A09" w:rsidRPr="009319BD" w:rsidRDefault="00C34AD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7E46048" w:rsidR="006B7A09" w:rsidRPr="009319BD" w:rsidRDefault="00C34AD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B79734E" w:rsidR="00D03ED5" w:rsidRPr="009319BD" w:rsidRDefault="00C34AD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0E589E8" w:rsidR="00D03ED5" w:rsidRPr="009319BD" w:rsidRDefault="00C34AD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0D1B9415" w:rsidR="00D24103" w:rsidRPr="009319BD" w:rsidRDefault="00C34ADA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56BD">
              <w:rPr>
                <w:sz w:val="20"/>
                <w:szCs w:val="20"/>
              </w:rPr>
            </w:r>
            <w:r w:rsidR="008556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4203F2BE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  <w:r w:rsidR="00C34ADA">
              <w:rPr>
                <w:b/>
                <w:sz w:val="20"/>
                <w:szCs w:val="20"/>
              </w:rPr>
              <w:t>-</w:t>
            </w:r>
            <w:r w:rsidR="00C34ADA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34ADA" w:rsidRPr="00C34ADA">
              <w:rPr>
                <w:sz w:val="20"/>
                <w:szCs w:val="20"/>
              </w:rPr>
              <w:t>SFA On Site Monitoring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40B5B07E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536ECDAE" w:rsidR="00D24103" w:rsidRPr="00C34ADA" w:rsidRDefault="00C34ADA" w:rsidP="00185312">
            <w:pPr>
              <w:pStyle w:val="NormalWeb"/>
              <w:numPr>
                <w:ilvl w:val="0"/>
                <w:numId w:val="22"/>
              </w:numPr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C34ADA">
              <w:rPr>
                <w:rFonts w:ascii="Arial" w:hAnsi="Arial" w:cs="Arial"/>
                <w:sz w:val="20"/>
                <w:szCs w:val="20"/>
              </w:rPr>
              <w:t>The School Food Authority (SFA) did not fully conduct the on-site reviews, specifically, the SFA did not review the entire meal services during the On-Site Reviews and some areas of the Monitoring Forms were found to be incomplete. Incomplete Monitoring Forms is a Repeat Finding from the previous review</w:t>
            </w: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78193B85" w14:textId="77777777" w:rsidR="009F1850" w:rsidRDefault="009F1850" w:rsidP="009F1850">
            <w:pPr>
              <w:pStyle w:val="ListParagraph"/>
              <w:rPr>
                <w:sz w:val="20"/>
                <w:szCs w:val="20"/>
              </w:rPr>
            </w:pPr>
          </w:p>
          <w:p w14:paraId="3A11F508" w14:textId="7A051171" w:rsidR="005A5D89" w:rsidRPr="009F1850" w:rsidRDefault="009F1850" w:rsidP="009F185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1850">
              <w:rPr>
                <w:sz w:val="20"/>
                <w:szCs w:val="20"/>
              </w:rPr>
              <w:t>Staff was readily available to answer questions or concerns.</w:t>
            </w:r>
          </w:p>
          <w:p w14:paraId="75CD31F5" w14:textId="608FB4C5" w:rsidR="009F1850" w:rsidRPr="009F1850" w:rsidRDefault="009F1850" w:rsidP="00C34AD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1850">
              <w:rPr>
                <w:sz w:val="20"/>
                <w:szCs w:val="20"/>
              </w:rPr>
              <w:t>FSMC staff made immediate corrections on the Day of Review where applicable.</w:t>
            </w:r>
          </w:p>
          <w:p w14:paraId="0416E308" w14:textId="1B79F8D5" w:rsidR="009F1850" w:rsidRPr="009F1850" w:rsidRDefault="009F1850" w:rsidP="00C34AD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1850">
              <w:rPr>
                <w:sz w:val="20"/>
                <w:szCs w:val="20"/>
              </w:rPr>
              <w:t>Teacher did a nice job incorporating the FFVP into the classroom.</w:t>
            </w:r>
          </w:p>
          <w:p w14:paraId="314BCEC2" w14:textId="030EEE70" w:rsidR="009F1850" w:rsidRPr="00C34ADA" w:rsidRDefault="009F1850" w:rsidP="00C34AD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1850">
              <w:rPr>
                <w:sz w:val="20"/>
                <w:szCs w:val="20"/>
              </w:rPr>
              <w:t xml:space="preserve">Recognizing the added challenges of high number of </w:t>
            </w:r>
            <w:proofErr w:type="gramStart"/>
            <w:r w:rsidRPr="009F1850">
              <w:rPr>
                <w:sz w:val="20"/>
                <w:szCs w:val="20"/>
              </w:rPr>
              <w:t>enrollment</w:t>
            </w:r>
            <w:proofErr w:type="gramEnd"/>
            <w:r w:rsidRPr="009F1850">
              <w:rPr>
                <w:sz w:val="20"/>
                <w:szCs w:val="20"/>
              </w:rPr>
              <w:t>, proximity to the Kitchen, and double cafeterias, it appears that the Food Service Department does a nice job offering the School Nutrition Programs in an appealing and consistent manner</w:t>
            </w:r>
            <w:r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081EEC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C34ADA">
      <w:rPr>
        <w:sz w:val="16"/>
        <w:szCs w:val="16"/>
      </w:rPr>
      <w:t xml:space="preserve"> Washington School District </w:t>
    </w:r>
  </w:p>
  <w:p w14:paraId="360D5ABF" w14:textId="28EF5CE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34ADA">
      <w:rPr>
        <w:sz w:val="16"/>
        <w:szCs w:val="16"/>
      </w:rPr>
      <w:t>101-63-880-3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70864"/>
    <w:multiLevelType w:val="hybridMultilevel"/>
    <w:tmpl w:val="868898C2"/>
    <w:lvl w:ilvl="0" w:tplc="05A87B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VWcqznF6d7ToQJlAvsaUyGGSu4vVqqoxnZ7qvQIttXCkcv+hR0zLASBEqagSdb146rd+uGGJWGQMFlF1PCMfgA==" w:salt="yOi8GHfDR1Y0tm2rAYUoA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56BD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9F1850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4ADA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C34AD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A9A9A9"/>
                                        <w:left w:val="single" w:sz="6" w:space="4" w:color="A9A9A9"/>
                                        <w:bottom w:val="single" w:sz="6" w:space="4" w:color="A9A9A9"/>
                                        <w:right w:val="single" w:sz="6" w:space="4" w:color="A9A9A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94C8B-38F2-4B53-BAD5-E52168D7A745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45C106E-11FA-41C4-9815-8296958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4908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2020-01-22T15:22:00Z</cp:lastPrinted>
  <dcterms:created xsi:type="dcterms:W3CDTF">2020-01-23T18:45:00Z</dcterms:created>
  <dcterms:modified xsi:type="dcterms:W3CDTF">2020-01-23T18:45:00Z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25000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